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19.03.2020, оставленным без изменения постановлением Шестнадцатого арбитражного апелляционного суда от 30.06.2020 и постановлением Арбитражного суда Северо-Кавказского округа от 26.11.2020, в удовлетворении иска отказано. В кассационной жалобе агентство просит об отмене судебных актов, ссылаясь на противоречие их договору и обстоятельствам его исполнения, процессуальные нарушения.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применив статью 10 Гражданского кодекса Российской Федерации, признали согласованные сторонами последствия прекращения договора от 01.02.2019 нарушающими баланс интересов сторон и, установив оплату предпринимателем предусмотренных дополнительными соглашениями к договору услуг, оценили требования агентства как не правомерные. Компетенция судов на применение последствий нарушения пределов осуществления гражданских прав не подлежит пересмотру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«Юридическое агентство «АБА»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