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Оренбургской области от 30.07.2020 с общества «Национальная страховая группа – «Росэнерго» взыскано 6 777 рублей 10 копеек неустойки, 640 рублей 42 копейки почтовых расходов и 5 000 рублей расходов на услуги представителя; в иске к обществу «Крезол-Нефте-Сервис» отказано. Восемнадцатый арбитражный апелляционный суд постановлением от 13.10.2020 решение от 30.07.2020 изменил: с общества «Национальная страховая группа – «Росэнерго» взыскал 6 777 рублей 10 копеек неустойки, 5 000 рублей судебных расходов на услуги представителя и 640 рублей 42 копейки почтовых расходов; с общества «Крезол-НефтеСервис» – 2 230 318 рублей убытков, 462 рубля 98 копеек почтовых расходов и 19 821 рубль расходов на услуги представителя. Арбитражный суд Уральского округа постановлением от 21.01.2021 постановление Восемнадцатого арбитражного апелляционного суда от 13.10.2020 оставил без изменения. В кассационной жалобе общество «Крезол-Нефте-Сервис» просит об отмене судебных актов апелляционного и окружного судов, ссылаясь на неправомерность требования о взыскании разницы между стоимостью восстановительного ремонта транспортного средства и выплаченным страховым возмещением и недоказанность ее размера.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Взыскание с заявителя как причинителя вреда убытков в полном объеме основано на статьях 15, 1064 Гражданского кодекса Российской Федерации. Заявленные убытки подтверждены доказательствами, оцененными судами в соответствии с компетенцией, и изменение их оценки в связи с доводами жалобы на стадии кассационного производства не допускается.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«Крезол-Нефте-Сервис»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