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Ханты-Мансийского автономного округа – Югры от 25.05.2020, оставленным без изменения постановлением Восьмого арбитражного апелляционного суда от 04.08.2020 и постановлением Арбитражного суда Западно-Сибирского округа от 17.12.2020, первоначальный и встречный иски удовлетворены частично; в результате зачета взысканных сумм с общества «Шатурская швейная мануфактура» в пользу общества «РН-Снабжение» взыскано 2 004 210 рублей 76 копеек неустойки. В кассационной жалобе общество «Шатурская швейная мануфактура» просит об отмене судебных актов вследствие необоснованного отказа в уменьшении неустойки, несоответствия вывода о сроке поставки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сроке поставки товара разрешен судами в соответствии с условиями договора от 20.03.2017 № РСН-1280/17. Установление в пределах данного дела обстоятельств, соответствующих критериям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«Шатурская швейная мануфактура»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"РН-Снабжение" (подробнее) Ответчики: ООО ШАТУРСКАЯ ШВЕЙНАЯ МАНУФАКТУРА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