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обжалует судебные акты по делу, рассмотренному в порядке упрощенного производства, окружным судом оставленные без изменения.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В связи с подачей документов в электронном виде государственная пошлина данным определением не возвращается. Руководствуясь статьями 150, 184,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акционерного общества «Москоллектор» на решение Арбитражного суда города Москвы от 26.02.2020 по делу № А40-288089/2019, постановление Девятого арбитражного апелляционного суда от 15.07.2020 и постановление Арбитражного суда Московского округа от 04.12.2020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