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16.07.2020, оставленным без изменения постановлением Семнадцатого арбитражного 2 апелляционного суда от 24.09.2020, оспариваемое постановление изменено в части назначенного наказания, штраф снижен до 3 097 982,67 рублей. Постановлением Арбитражного суда Уральского округа от 22.12.2020 указанные судебные акты оставлены без изменения. Общество обратилось в Верховный Суд Российской Федерации с кассационной жалобой на принятые по делу судебные акты,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решением антимонопольного органа установлен факт заключения ограничивающего конкуренцию устного соглашения, исполнение которого привело к созданию хозяйствующим субъектам препятствий доступу на рынок лекарственных средств. Выявленное нарушение послужило основанием для составления протокола и вынесения антимонопольным органом оспариваемого постановления о привлечении общества к ответственности по части 4 статьи 14.32 Кодекса Российской Федерации об административных правонарушениях. 3 Оценив представленные доказательства, руководствуясь положениями Федерального закона от 26.07.2006 № 135-ФЗ «О защите конкуренции», суды пришли к выводу о доказанности антимонопольным органом в действиях общества состава правонарушения, ответственность за совершение которого предусмотрена частью 4 статьи 14.32 Кодекса Российской Федерации об административных правонарушениях. Нарушений процедуры привлечения к административной ответственности не установлено, срок давности привлечения к административной ответственности соблюден. Приведенные в жалобе доводы о несогласии с размером назначенного штрафа сами по себе не могут служить основанием для отмены судебных актов, в том числе, с учетом установленного судами события вмененного правонарушения и снижения судом размера штрафа ниже низшего размера санкции нормы.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