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20.03.2020, оставленным без изменения постановлением Девятого арбитражного апелляционного суда от 06.08.2020, в удовлетворении требований отказано. 2 Постановлением Арбитражного суда Московского округа от 10.12.2020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10, 15, 330, 368 Гражданского кодекса Российской Федерации, статей 44, 45, 96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в удовлетворении требований отказали, признав, что представленная обществом (участником аукциона) банковская гарантия не соответствовала требованиям закупочной документации, не установив причинно-следственной связи между понесенными истцом расходами и действиями ответчика. Доводы жалобы были предметом исследования судов и получили исчерпывающую правовую оценку с учетом отсутствия доказательств, свидетельствующих о том, что общество намеревалось заключить и исполнить контракт, совершало попытки оплаты обеспечения исполнения контракта, не согласиться с которой, исходя из доводов жалобы,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