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30.07.2019, оставленным без изменения постановлением Одиннадцатого арбитражного апелляционного суда от 26.09.2019, заявленные требования удовлетворены. 2 Постановлением Арбитражного суда Поволжского округа от 30.01.2020 указанные судебные акты отменены, дело направлено на новое рассмотрение в Арбитражный суд Самарской области. При новом рассмотрении дела решением Арбитражного суда Самарской области от 09.07.2020, оставленным без изменения постановлением Одиннадцатого арбитражного апелляционного суда от 04.09.2020, в удовлетворении заявленного требования отказано. Постановлением Арбитражного суда Поволжского округа от 23.12.2020 названные судебные акты оставлены без изменения. В кассационной жалобе общество ставит вопрос об отмене принятых при новом рассмотрении дела судебных актов в связи с допущенными, по его мнению, нарушениями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административной ответственности послужил выявленный административным органом факт нарушения обществом порядка государственного учета объема оборота алкогольной продукции при поставке произведенной продукции. 3 Статьей 14.19 Кодекса Российской Федерации об административных правонарушениях 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 учетом разъяснений, изложенных в пункте 18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 Президиумом Верховного Суда Российской Федерации 06.12.2017) суды пришли к выводу о наличии в действиях общества состава административного правонарушения, предусмотренного статьей 14.19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Административное наказание в виде штрафа 4 назначено в соответствии с положениями статьи 4.1 Кодекса Российской Федерации об административных правонарушениях и санкцией нормы. Обстоятельств, исключающих производство по делу об административном правонарушении, а также обстоятельств, при которых допущенное обществом правонарушение могло быть признано малозначительным, судами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