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15.06.2020 исковые требования удовлетворены в части взыскания 639 782 рублей 10 копеек страхового возмещения и 30 000 рублей расходов на оплату услуг представителя. Четырнадцатый арбитражный апелляционный суд постановлением от 01.09.2020 изменил решение от 15.06.2020, отказав в удовлетворении иска по мотиву ненаступления страхового случая, предусмотренного договором страхования. Арбитражный суд Северо-Западного округа постановлением от 28.12.2020 постановление Четырнадцатого арбитражного апелляционного суда от 01.09.2020 оставил без изменения. 2 В кассационной жалобе предприниматель просит об отмене постановления окружного суда, ссылаясь на противоречие его судебным актам по делу № А66-12360/2018.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Выводы апелляционного и окружного судов о нераспространении страховой защиты на убытки, возникшие в результате хищения застрахованного транспортного средства, переданного страхователем в аренду третьему лицу, основаны на договоре добровольного страхования транспортных средств от 17.10.2018 серии 7100 № 1242744. Установление обстоятельств рассматриваемого страхового случая не относилось к предмету дела № А66-12360/2018 Арбитражного суда Тверской области, поэтому принятые по нему судебные акты правомерно не признаны имеющими значение для настоящего дела.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Мельник Е.Н.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