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Ростовской области от 28.12.2020 дело передано по подсудности на рассмотрение Арбитражному суду Краснодарского края. Постановлением Пятнадцатого арбитражного апелляционного суда от 29.01.2021 определение суда первой инстанции оставлено без изменения. 2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процессуального права. Исходя из доводов жалобы и принятых по делу судебных актов оснований для удовлетворения жалобы не установлено. Суд, установив, что оценка законности оспариваемого постановления о привлечении к административной ответственности не входит в его компетенцию, руководствуясь статьями 39, 207, 208 Арбитражного процессуального кодекса Российской Федерации, статьей 30.1 Кодекса Российской Федерации об административных правонарушениях, пришел к выводу о передаче дела в Арбитражный суд Краснодарского края по месту нахождения административного органа, вынесшего оспариваемое постановление, и месту совершения правонарушения.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исходя из доводов жалобы, не установлено. При этом передача дела в другой суд не лишает заявителя гарантированного ему Конституцией Российской Федерации права на судебную защиту и не противоречит требованиям части 2 статьи 39 Арбитражного процессуального кодекса Российской Федерации.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