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09.07.2020, оставленным без изменения постановлением Одиннадцатого арбитражного апелляционного суда от 17.09.2020 и постановлением Арбитражного суда Поволжского округа от 24.12.2020, первоначальный иск удовлетворен, в удовлетворении встречного иска отказано. В кассационной жалобе общество «Гаро Плюс» просит об отмене судебных актов, ссылаясь на отсутствие оценки приостановления истцом процесса расторжения договора и добросовестности его действий в вопросе действия договора, нарушение окружным судом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 договоре от 03.05.2018 № 20 права покупателя (общества «ЭлПромМаш») на одностороннее внесудебное расторжение договора в случае нарушения согласованного срока поставки товара. Суды также признали наличие у покупателя права на отказ от договора и возврат уплаченной за товар суммы в силу статьи 523 Гражданского кодекса российской Федерации в связи с существенным нарушением условий договора продавцом. Исследованная переписка сторон в совокупности по вопросу о поставке товара и действии договора не выявила недобросовестности покупателя. Ссылка на эту переписку окружным судом в порядке обсуждения доводов кассационной жалобы не находится за пределами полномочий суда.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