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17.02.2020, оставленным без изменения постановлением Одиннадцатого арбитражного апелляционного суда от 17.06.2020 и постановлением Арбитражного суда Поволжского округа от 09.10.2020, заявленные требования удовлетворены. В кассационной жалобе, поданной в Верховный Суд Российской Федерации, управление,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Как следует из материалов дела, в период с 2012 по 2018 годы управление произвело регистрацию права общей долевой собственности владельцев инвестиционных паев закрытого рентного паевого инвестиционного фонда «Финам-Капитальные вложения» и доверительного управления в пользу ООО «УК Управление инвестициями» в отношении 1026 земельных участков, расположенных в Пензенской области. В связи с переходом прав и обязанностей по договору доверительного управления фондом от управляющей компании ООО «УК Управление инвестициями» к обществу, последнее в ноябре 2018 года обратилось в управление с заявлениями о государственной регистрации изменений в Единый государственный реестр недвижимости (далее – ЕГРН) в отношении 1026 земельных участков, приложив к ним платежные поручения об уплате государственной пошлины в общей сумме 22 572 000 руб. Полагая, что государственная пошлина за совершение регистрационных действий была уплачена в большем размере, чем предусмотрено законом, общество обратилось в управление с заявлением о возврате излишне уплаченной государственной пошлины в сумме 21 546 000 руб. Решением от 29.08.2019 № 07296 управление отказало в возврате государственной пошлины. Считая указанное решение управления незаконным, общество обратилось в арбитражный суд с настоящим заявлением.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статьи 1012 Гражданского кодекса Российской Федерации, статей 21 , 78 , 333.16 , 333.17 , 333.33 , 333.40 Налогового кодекса Российской Федерации (далее – НК РФ), статей 1, 10 Федерального закона от 29.11.2001 № 156-ФЗ «Об инвестиционных фондах», статей 1, 9, 33, 72 Федерального закона от 13.07.2015 № 218-ФЗ «О государственной регистрации недвижимости», суды первой и апелляционной инстанций пришли к выводу об обоснованности требований общества. При этом суды исходили из того, что передача прав и обязанностей по договору доверительного управления фондом другой управляющей компании не изменяет право общей долевой собственности и ограничение (обременение) данного права, а поскольку в данном случае отсутствуют основания для государственной регистрации права и его ограничении (обременении), в ЕГРН подлежат внесению изменения, касающиеся смены управляющей компании, за что подлежит уплате государственная пошлина в размере, установленном подпунктом 27 пунктом 1 статьи 333.33 НК РФ , то есть 1000 руб. в отношении каждого объекта; так как при обращении общество уплатило государственную пошлину в большем размере, у управления не имелось оснований для отказа в возврате излишне уплаченных заявителем денежных средств. С выводами судов первой и апелляционной инстанций впоследствии согласился суд округа. Доводы кассационной жалобы основаны на ином толковании норм права, не опровергают выводы судов, не подтверждают существенных нарушений судами норм материального и процессуального права, повлиявших на исход дела,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Пензенской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"Управляющая компания "Навигатор" (подробнее) ООО "Управляющая компания "Навигатор" Д.У. Закрытым рентным паевым инвестиционным фондом "Капитальные вложения" (подробнее) Ответчики: Управление Росреестра по Пензенской области (подробнее) Управление Федеральной службы государственной регистрации, кадастра и картографии по Пензенской области (подробнее) Иные лица: Арбитражный суд Пензенской области (подробнее) ООО "УК УПРАВЛЕНИЕ ИНВЕСТИЦИЯМИ"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