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«Стройтранс» удовлетворить. Срок подачи кассационной жалобы на решение Арбитражного суда Республики Марий Эл от 18.02.2020, постановление Первого арбитражного апелляционного суда от 10.07.2020 и постановление Арбитражного суда Волго-Вятского округа от 06.11.2020 по делу № А38-197/2019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