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22.05.2020, оставленным без изменения постановлением Девятого арбитражного апелляционного суда от 12.08.2020 и постановлением Арбитражного суда Московского округа от 10.12.2020, исковое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управлением и организацией 28.04.2008 заключен договор № УД-97 о предоставлении некоммерческим неправительственным организациям бюджетных средств на осуществление целевых расходов. Во исполнение условий договора управление перечислило организации денежные средства в сумме 230 000 000 рублей. В связи с неисполнением требований договора о предоставлении в управление ежеквартальных отчетов и текущих отчетов (по требованию) о расходовании денежных средств, управление направило организации претензию о возврате бюджетных средств в сумме 1 553 350 рублей 75 копеек. Рассмотрев претензию управления, организация сообщила о невозможности возврата денежных средств, в связи с недобросовестными действиями грантополучателей, которым организация как победителям конкурсов выделяла гранты для реализации социально значимых проектов. Указанные обстоятельства послужили основанием для обращения управления в арбитражный суд. Исследовав и оценив представленные в материалы дела доказательства, суды, руководствуясь положениями Бюджетного кодекса Российской Федерации, распоряжением Президента Российской Федерации от 14.04.2008 № 192-рп «Об обеспечении в 2008 году государственной поддержки некоммерческих неправительственных организаций, участвующих в развитии институтов гражданского общества», постановлением Правительства Российской Федерации от 14.11.2007 № 778 «О мерах по реализации Федерального закона «О федеральном бюджете на 2008 год и на плановый период 2009 и 2010 годов», Правилами предоставления в 2008 году из федерального бюджета субсидий некоммерческим неправительственным организациям, участвующим в развитии институтов гражданского общества, утвержденными приказом управления от 16.05.2008 № 151, пришли к выводу о наличии оснований для удовлетворения искового требования. Судебные инстанции исходили из того, что ответчик в нарушение условий договора не подтвердил использование субсидии по назначению с целью реализации проектов, имеющих социальное значение в сфере пропаганды здорового образа жизни, охраны здоровья населения и окружающей среды. 3 При этом суды отметили, что сумма долга по договору подтверждается актами сверки взаиморасчетов между управлением и организацией по состоянию на 01.01.2012, 01.01.2013, 01.01.2014, 01.01.2015, 01.01.2016, 01.01.2017, 01.01.2018, подписанными ответчиком без возражений.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Общероссийской общественной организации «Лига здоровья нации»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