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предприниматели обратились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2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предпринимателями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индивидуальных предпринимателей Титаренко Анны Викторовны и Титаренко Сергея Викторовича удовлетворить. Срок подачи кассационной жалобы на решение Арбитражного суда Челябинской области от 23.12.2019, постановление Восемнадцатого арбитражного апелляционного суда от 03.07.2020 и постановление Арбитражного суда Уральского округа от 16.10.2020 по делу № А76-9324/2019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