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11.06.2020, оставленным без изменения постановлением Пятнадцатого арбитражного апелляционного суда от 19.08.2020, иск удовлетворен частично, с общества в пользу учреждения взыскана неустойка в размере 26 605,59 рублей. 2 Постановлением Арбитражного суда Северо-Кавказского округа от 02.12.2020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направить дело на новое рассмотрение. Исходя из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309, 330, 406, 716, 719 Гражданского кодекса Российской Федерации, статьи 34 Федерального Закона Российской Федерации от 05.04.2013 № 44-ФЗ «О контрактной системе в сфере закупок товаров, работ, услуг для обеспечения государственных и муниципальных нужд», суды частично удовлетворили иск, установив факт нарушения обществом срока выполнения работ, определив размер неустойки и отсутствие оснований для освобождения от ответственности за неисполнение обязательства. Доводы жалобы были предметом исследования судов и получили исчерпывающую правовую оценку с учетом конкретных установленных судами обстоятельств дела, связанных с поведением общества при исполнении контракта, не согласиться с которыми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