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02.12.2019, оставленным без изменения постановлениями Семнадцатого арбитражного апелляционного суда от 05.10.2020 и Арбитражного суда Западно-Сибирского округа от 22.12.2020,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в отношении общества управлением выдано оспариваемое предписание. Основанием для выдачи предписания послужил вывод управления о нарушении обществом пункта 33 (1) Правил продажи отдельных видов товаров, утвержденных постановлением Правительства Российской Федерации от 19.01.1998 № 55 (далее – Правила № 55). Исследовав и оценив представленные в материалы дела доказательства, руководствуясь положениями Закона Российской Федерации от 07.02.1992 № 2300-1 «О защите прав потребителей»,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№ 55, Методическими рекомендациями о рекомендуемых способах размещения (выкладки) молочных, молочных составных и молокосодержащих продуктов в торговом зале или ином месте продажи, позволяющих их визуально отделить от иных пищевых продуктов, а также о рекомендуемых способах сопровождения такой продукции информационной надписью «продукты без заменителя молочного жира», утвержденными приказом Министерства промышленности и торговли Российской Федерации и Федеральной службы по надзору в сфере защиты прав потребителей и благополучия человека от 18.06.2019 № 2098/368, установив отсутствие существенных нарушений, влекущих недействительность результатов проверки, суды, пришли к выводу о том, что предписание управления соответствует требованиям действующего законодательства и не нарушает права и законные интересы общества. При этом судебные инстанции исходили из отсутствия доказательств размещения в торговых сетях общества товаров способами, направленными на визуальное отделение товаров с надлежащим образом оформленной информационной надписью «продукты без заменителя молочного жира». Суды отметили, что наличие только на ценниках товаров, реализуемых на момент внеплановой проверки в магазинах общества, данной информационной надписи не является надлежащим соблюдением требований пункта 33(1) Правил № 55, поскольку указанная надпись на ценнике является дополнительной к выкладке (отделению продуктов), определяет вариант выкладки и не заменяет способ нанесения информационной надписи как дополнительного требования к размещению и обособлению рассматриваемой категории продуктов. 3 Приведенные в жалобе доводы сводятся к иной оценке представленных доказательств и несогласию с толкованием судами норм законодательства, подлежащих применению к рассматриваемым правоотношениям, применительно к установленным обстоятельствам дела,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«Розница К-1»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