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Вологодской области от 05.06.2020, оставленным без изменения постановлением Четырнадцатого арбитражного 2 апелляционного суда от 14.08.2020, иск удовлетворен частично, с ответчика в пользу истца взыскано 1 916 168,94 рубля задолженности, 331 833,88 рубля процентов за пользование чужими денежными средствами, начисленных по состоянию на 26.12.2019, а также проценты, начиная с 27.12.2019 до фактического погашения долга, из расчета ставки рефинансирования Центрального банка Российской Федерации, действующей на дату уплаты, в остальной части иска отказано. Постановлением Арбитражного суда Северо-Западного округа от 26.11.2020 указанные судебные акты оставлены без изменения. Ответчик обратился в Верховный Суд Российской Федерации с кассационной жалобой, в которой просит принятые по делу судебные акты в части удовлетворения иска отменить, считая их принятыми с нарушением норм материального и процессуального права в указанной части. Исходя из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статьями 309, 310, 886, 896, 899 Гражданского кодекса Российской Федерации, статьи 2 Федерального Закона Российской Федерации от 05.04.2013 № 44-ФЗ «О контрактной системе в сфере закупок товаров, работ, услуг для обеспечения государственных и муниципальных нужд», правовой позицией, изложенной в пункте 23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28.06.2017, суды удовлетворили иск частично, признав, что по истечении срока действия контракта ответчик продолжал пользоваться услугами истца по хранению переданного груза без оплаты; в рассматриваемом случае истец не мог прекратить обязательство односторонними действиями по истечении срока действия контракта или при превышении его максимальной цены. 3 Доводы жалобы были предметом исследования судов и получили исчерпывающую правовую оценку с учетом установленных обстоятельств, не согласиться с которыми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