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09.02.2018, оставленным без изменения постановлением Четырнадцатого арбитражного апелляционного суда от 08.05.2018, иск удовлетворен. Постановлением Арбитражного суда Северо-Западного округа от 09.08.2018 указанные судебные акты отменены, дело направлено на новое рассмотрение в суд первой инстанции. При новом рассмотрении дела решением Арбитражного суда Вологодской области от 08.07.2020, оставленным без изменения постановлением Четырнадцатого арбитражного апелляционного суда от 09.09.2020, иск удовлетворен. Постановлением Арбитражного суда Северо-Западного округа от 10.12.2020 указанные судебные акты оставлены без изменения. Ответчик обратился в Верховный Суд Российской Федерации с кассационной жалобой, в которой просит принятые при новом рассмотрении дела судебные акты отменить, считая их незаконными и необоснованными. Исходя из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статьями 309, 310, 886, 896, 899 Гражданского кодекса Российской Федерации, статьи 2 Федерального Закона Российской Федерации от 05.04.2013 № 44-ФЗ «О контрактной системе в сфере закупок товаров, работ, услуг для обеспечения государственных и муниципальных нужд», правовой позицией, изложенной в пункте 23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суды удовлетворили иск, признав, что по истечении срока действия контракта ответчик продолжал пользоваться услугами истца по хранению переданного груза без оплаты. 3 Доводы жалобы были предметом исследования судов и получили исчерпывающую правовую оценку с учетом установленных обстоятельств, свидетельствовавших о том, что в рассматриваемом случае истец не мог прекратить обязательство односторонними действиями по истечении срока действия контракта или при превышении его максимальной цены, не согласиться с которыми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Поскольку основания для передачи кассационной жалобы для рассмотрения в судебном заседании Судебной коллегии Верховного Суда Российской Федерации отсутствуют, заявленное ходатайство о приостановлении исполнения судебных актов на основании части 3 статьи 291.6 Арбитражного процессуального кодекса Российской Федерации не подлежит удовлетворению.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