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10.10.2019, оставленным без изменения постановлением Девятого арбитражного апелляционного суда от 20.10.2020, в иске отказано. Постановлением Арбитражного суда Московского округа от 21.01.2021 указанные судебные акты оставлены без изменения. Организация обратилась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в том числе применительно к соответствию выполненных экспертных заключений требованиям Федерального закона от 31.05.2001 № 73-ФЗ «О государственной судебно- экспертной деятельности в Российской Федерации», а также к возможности использования результатов экспертиз, суды в иске отказали, не установив наличие оснований для взыскания убытков. Доводы жалобы были предметом исследования судов и получили исчерпывающую правовую оценку с учетом конкретных установленных обстоятельств, не согласиться с которыми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АНО "ЛАБОРАТОРИЯ ПО ПРОИЗВОДСТВУ СУДЕБНОЙ ЭКСПЕРТИЗЫ ОБЪЕКТОВ ПАТЕНТНЫХ ПРАВ И СРЕДСТВ ИНДИВИДУАЛИЗАЦИИ" (подробнее) Ответчики: Министерство внутренних дел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