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18.06.2020, оставленным без изменения постановлением Девятого арбитражного апелляционного суда от 12.08.2020, в удовлетворении требования отказано. Постановлением Арбитражного суда Московского округа 07.12.2020 указанные судебные акты оставлены без изменения. Предприниматель просит обжалуемые судебные акты отменить, считая их принятыми с существенным нарушением норм материального и процессуального права. При изучении доводов жалобы и состоявшихся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использование предпринимателем транспортного средства для осуществления регулярных перевозок пассажиров в отсутствие карты маршрута регулярных перевозок. Частью 4 статьи 11.33 Кодекса Российской Федерации об административных правонарушениях предусмотрена административная ответственность за использование для осуществления регулярных перевозок пассажиров автобуса, трамвая или троллейбуса при отсутствии карты маршрута регулярных перевозок в случае, если наличие такой карты является обязательным. Оценив представленные доказательства, руководствуясь положениями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Федерации», суды пришли к выводу о наличии в действиях предпринимателя состава правонарушения, ответственность за совершение которого предусмотрена частью 4 статьи 11.33 Кодекса Российской Федерации об административных правонарушениях. 3 Процедура и срок давности привлечения к административной ответственности соблюдены, административное наказание в виде штрафа назначено в пределах санкции нормы. Совокупности обстоятельств, предусмотренных частью 2 статьи 3.4 и статьей 4.1.1 Кодекса Российской Федерации об административных правонарушениях, позволяющих заменить наказание в виде административного штрафа на предупреждение, в том числе, с учетом установленного наличия угрозы причинения вреда жизни и здоровью людей, судами не выявлено. Доводы жалобы направлены на переоценку доказательств и установление иных фактических обстоятельств дела, что не отнесено к полномочиям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