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16.03.2020, оставленным без изменения постановлением Девятого арбитражного апелляционного суда от 19.08.2020, в иске отказано. Постановлением Арбитражного суда Московского округа от 03.12.2020 указанные судебные акты оставлены без изменения. 2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703, 721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в иске отказали, установив непринятие обществом надлежащих мер к устранению недостатков и исполнению обязательств по контракту, и признав наличие оснований для одностороннего отказа от исполнения государственного контракта. Доводы жалобы были предметом исследования судов и получили исчерпывающую правовую оценку с учетом установленных обстоятельств, свидетельствующих о том, что результат работ не достигнут, не согласиться с которыми оснований не имеется. Указанные выводы судов в жалобе не опровергнуты.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