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19.03.2020, оставленным без изменения постановлением Девятого арбитражного апелляционного суда от 23.07.2020 и постановлением Арбитражного суда Московского округа от 03.12.2020,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 признано победителем конкурентной процедуры, проведенной в форме электронного аукциона на поставку коммунальной техники для нужд учреждения на основании протокола от 11.06.2019. Заказчик 16.07.2019 разместил в единой информационной системе в сфере закупок проект государственного контракта. В связи с ненаправлением в установленный срок подписанного проекта контракта, общество признано уклонившимся от его заключения, соответствующие сведения направлены в антимонопольный орган для решения вопроса о включении сведений о заявителе в реестр недобросовестных поставщиков. Решением управления от 16.09.2019 сведения, представленные в отношении общества, включены в реестр недобросовестных поставщиков. Не согласившись с указанным решением, заявитель обратился в арбитражный суд. Исследовав и оценив представленные в материалы дела доказательства, суд первой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том, что решение управления соответствует положениям действующего законодательства и не нарушает права и законные интересы заявителя. Суды апелляционной инстанции и округа поддержали выводы суда. 3 Судебные инстанции исходили из доказанности уклонения общества от заключения государственного контракта, доказательств обратного обществом в материалы дела не представлено.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«Позитив»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