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обосновывает ходатайство об отсрочке уплаты государственной пошлины неудовлетворительным финансовым положением. Согласно статье 102 Арбитражного процессуального кодекса Российской Федерации и пункту 2 статьи 333.22 Налогового кодекса Российской Федерации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2 счете (счетах) денежных средств в размере, необходимом для уплаты государственной пошлины. Надлежащие документы, отражающие имущественное положение подателя жалобы не представлены, поэтому ходатайство об отсрочке уплаты государственной пошлины удовлетворению не подлежит.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фактически не возвращается, а не рассматривается по существу. Руководствуясь статьей 184,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Миряеву Семену Ефимовичу в предоставлении отсрочки уплаты государственной пошлины за подачу кассационной жалобы на решение Арбитражного суда Пензенской области от 20.05.2020 по делу № А49-11555/2019, постановление Одиннадцатого арбитражного апелляционного суда от 01.09.2020 и постановление Арбитражного суда Поволжского округа от 28.01.2021 по тому же делу.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