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с общества в пользу компании 558 050 руб. 39 коп. неосновательного обогащения, 2450 руб. 07 коп. процентов за пользование чужими денежными средствами, проценты за пользование чужими денежными, начисленные с 17.08.2019 по дату фактической оплаты неосновательного обогащения, в удовлетворении остальной части исковых требований отказано. Постановлением Девятого арбитражного апелляционного суда от 20.08.2020 принят отказ общества от требований о взыскании 2 неосновательного обогащения, процентов в общей сумме 565 539 руб. 31 коп. и процентов по дату фактической оплаты по договорам от 20.12.2017 № 4783СП-КАР/03/2017, от 25.05.2018 № 5675СП3-КАР/04/2018, производство по делу в указанной части прекращено. С общества в пользу компании взыскано 555 983 руб. 74 коп. неосновательного обогащения, 35 048 руб. 73 коп. процентов по состоянию на 04.08.2020, проценты за период с 05.08.2020 по дату фактического погашения задолженности; в удовлетворении остальной части исковых требований отказано. Постановлением Арбитражного суда Московского округа от 02.12.2020 постановление суда апелляционной инстанции оставлено без изменения. В кассационной жалобе, поданной в Верховный Суд Российской Федерации, общество, ссылаясь на незаконность указанных судебных актов, просит их отменить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Отменяя решение суда первой инстанции и частично удовлетворяя исковые требования, суд апелляционной инстанции, с которым согласился суд округа, руководствуясь статьей 395 Гражданского кодекса Российской Федерации, разъяснениями, изложенными в постановлении Пленума Высшего Арбитражного Суда Российской Федерации от 14.03.2014 № 17 «Об отдельных вопросах, связанных с договором выкупного лизинга», исследовав и оценив в порядке статьи 71 Арбитражного процессуального кодекса Российской Федерации представленные в материалы дела доказательства, произведя перерасчет сальдо встречных обязательств, пришел к выводу о наличии на стороне ответчика неосновательного обогащения в сумме 555 983 руб. 74 коп. Доводы кассационной жалобы сводятся к изложению обстоятельств дела, которые были предметом исследования судов, не опровергают выводы судов, не подтверждают существенных нарушений ими норм материального и (или) процессуального права и не являются основанием для передачи жалобы на рассмотрение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«РЕСО-Лизинг»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