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решение Арбитражного суда Республики Башкортостан от 12.02.2020, оставленным без изменения постановлением Восемнадцатого арбитражного апелляционного суда от 03.07.2020 и постановлением Арбитражного суда Уральского округа от 25.11.2020, первоначальные исковые требования удовлетворены, в удовлетворении встречного иска отказано. В кассационной жалобе, поданной в Верховный Суд Российской Федерации, общество, ссылаясь на нарушение судами норм материального 2 и процессуального права, несоответствие их выводов фактическим обстоятельствам дела, просит отменить указанные судебные акты и направить дело на новое рассмотрение в Арбитражный суд Республики Башкортостан.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исковые требования предприятия (исполнитель) мотивированы тем, что общество (заказчик) не исполнило в полном объеме обязательства по оплате услуг, оказанных исполнителем в рамках договора от 02.07.2018 № 146-ИБ на оказание услуг по печатанию газет (далее – договор), и не возвратило обеспечительный платеж. В обоснование встречного иска общество сослалось на ненадлежащее качество оказанных услуг.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надлежащего исполнения предприятием обязательств по договору, отсутствие доказательств оплаты обществом оказанных услуг в полном объеме, как и доказательств некачественного оказания услуг, руководствуясь статьями 309, 310, 381.1, 720, 721, 779, 781, 783, 1102 Гражданского кодекса Российской Федерации, суды первой и апелляционной инстанций пришли к выводу о наличии оснований для удовлетворения первоначальных исковых требований и отказа в удовлетворении встречного иска, с чем впоследствии согласился суд округа. Довод заявителя о неподписании определений судом первой инстанции был предметом рассмотрения апелляционного суда и отклонен как противоречащий материалам дела. Изложенные в кассационной жалобе доводы не свидетельствуют о существенном нарушении судами норм материального и процессуального права, повлиявших на исход дела, а сводятся, по существу, к несогласию с оценкой судами фактических обстоятельств, установленных в настоящем споре, что не является основанием для пересмотра судебных актов в кассационном порядке. Поскольку в передаче кассационной жалобы для рассмотрения в судебном заседании Судебной коллегии Верховного Суда Российской Федерации отказано, ходатайство о приостановлении исполнения обжалуемых судебных актов рассмотрению не подлежит. 3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юридическая фирма «Истина»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