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05.03.2020, оставленным в без изменения постановлением Семнадцатого арбитражного апелляционного суда от 05.06.2020 и постановлением Арбитражного суда Уральского округа от 01.12.2020, иск удовлетворен. В кассационной жалобе общество «Белтрансэкспедиция» просит об отмене судебных актов, ссылаясь на нарушение подсудности.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Подчинение перевозки, при которой общество «Белтрансэкспедиция» допустило повреждение груза, Конвенции о договоре международной дорожной перевозки грузов определено международной транспортной накладной, поэтому предъявление иска по правилам Конвенции признано судами правомерным.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Белорусско-российскому совместному закрытому акционерному обществу «Белтрансэкспедиция»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