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10.07.2020, оставленным без изменения постановлением Семнадцатого арбитражного апелляционного суда от 14.10.2020, иск удовлетворен частично. Арбитражный суд Уральского округа постановлением от 17.12.2020 решение и постановление апелляционной инстанции оставил без изменения. В кассационной жалобе союз просит об отмене судебных актов, ссылаясь на отсутствие у истца права на получение компенсационной выплаты и производной от нее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Истцу перешли права выгодоприобретателя в договоре обязательного страхования по сделке, предусматривающей перемену лица в обязательстве. В силу пункта 2.1 статьи 18 Федерального закона от 25.04.2002 № 40-ФЗ «Об обязательном страховании гражданской ответственности владельцев транспортных средств» выгодоприобретатели отнесены к лицам, имеющим право на получение компенсационных выплат. Установление обстоятельств, влияющих на размер неустойки, является компетенцией судов, рассматривающих дело в качестве первой инстанции. Иное толкование норм о компенсационных выплатах и законной неустойке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