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14.07.2020, оставленным без изменения постановлением Восьмого арбитражного апелляционного суда от 25.09.2020 и постановлением Арбитражного суда Западно-Сибирского округа от 21.12.2020, первоначальный и встречный иски удовлетворены частично; в результате зачета взысканных сумм с общества «ТехноСварКомплект» в пользу общества «Тренд 72» взыскано 88 866 рублей 01 копейка задолженности, неустойка с 27.12.2019 на сумму 295 162 рубля по ставке 0,5% за каждый день просрочки по день фактического исполнения обязательства, 24 335 рублей расходов на услуги представителя. В кассационной жалобе общество «ТехноСварКомплект» просит об отмене судебных актов, ссылаясь на применение неустойки в нарушение ее компенсационной функции.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Условия для применения ответственности и обстоятельства, влияющие на ее размер, устанавливаются судами, рассматривающими дело в качестве первой инстанции,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«ТехноСварКомплект»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"Тренд72" (подробнее) Ответчики: ООО "ТехноСварКомплект" (подробнее) Иные лица: 8 ААС (подробнее) Арбитражный суд Западно-Сибирского округа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