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02.03.2020, оставленным без изменения постановлением Девятого арбитражного апелляционного суда от 30.09.2020 и постановлением Арбитражного суда Московского округа от 11.12.2020, исправлена описка, допущенная в резолютивной части решения Арбитражного суда города Москвы от 27.08.2019. В кассационной жалобе банк просит отменить судебные акты в отношении описки, ссылаясь на неправомерное принятие решения по нерассмотренному требованию исправлением описки.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Рассмотрение требования о взыскании процентов по день фактического исполнения обязательства подтверждено оглашением взыскания их при объявлении резолютивной части решения. Исправление описки в резолютивной части путем приведения ее текста в соответствие с текстом, оглашенным в судебном заседании, укладывается в пределы статьи 179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