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23.03.2020 иск удовлетворен частично. Постановлением Семнадцатого арбитражного апелляционного суда от 10.07.2020, оставленным без изменения постановлением Арбитражного суда Уральского округа от 30.11.2020, решение изменено, иск удовлетворен в заявленном размере. В кассационной жалобе объединение просит о пересмотре судебных актов, ссылаясь на притворность договорного условия о хранении невыбранного товара.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Обязательство по оплате стоимости хранения согласовано в договоре поставки от 06.02.2018 № 01/0118-МК и удовлетворено в связи с наступившими условиями его исполнения и статьями 515, 896 Гражданского кодекса Российской Федерации. Возражение в отношении недействительности названного условия не заявлялось ответчиком и не обсуждалось судами, в связи с чем довод о ней не подлежит обсуждению в кассационном порядке.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«Научно-техническое объединение «Разработка»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