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07.02.2020, оставленным без изменения постановлением Девятого арбитражного апелляционного суда от 22.07.2020 и постановлением Арбитражного суда Московского округа от 02.12.2020, производство по делу в части взыскания 18 901 515 рублей 63 копеек неосновательного обогащения прекращено в связи с отказом от иска на эту сумму, в удовлетворении остальной части иска отказано. В кассационной жалобе предприниматель просит об отмене судебных актов, ссылаясь на подмену доводов и правовых позиций истца.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обстоятельств, на которых предприниматель основывает свой иск, а также законных и договорных оснований для его удовлетворения суды не установили.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Министерство обороны Российской Федерации (подробнее) ФГУП "Инженерно-Технический центр Министерства обороны Российской Федерации" (подробнее) Федеральное казенное учреждение "Войсковая часть 83466"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