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29.12.2018, оставленным без изменения постановлением Девятого арбитражного апелляционного суда от 21.10.2020 и постановлением Арбитражного суда Московского округа от 24.12.2020, в удовлетворении иска отказано в связи с недоказанностью. В кассационной жалобе общество «Автоцентр» просит о пересмотре судебных актов, ссылаясь на неправильную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признали обоснованными возражения ответчика о предоставлении встречного исполнения на спорную сумму и предъявление истцом документально неподтвержденного иска и отказали в нем в соответствии со статьей 1102 Гражданского кодекса Российской Федерации и статьей 65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«Автоцентр»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