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19.08.2020, оставленным без изменения постановлением Тринадцатого арбитражного апелляционного суда от 22.10.2020 и постановлением Арбитражного суда Северо-Западного округа от 20.01.2021, заявление компании о взыскании с общества 97 000 судебных расходов удовлетворено на сумму в 15 000 рублей; обществу во взыскании судебных расходов отказано. В кассационной жалобе компания просит о пересмотре судебных актов вследствие неосновательного уменьшения заявленных ею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«Высотспецстрой»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"Беатон" (подробнее) Ответчики: ООО Строительная компания "Высотспецстрой"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