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23.03.2020, оставленным без изменения постановлением Семнадцатого арбитражного апелляционного суда от 14.09.2020, с общества «Форсаж» в пользу банка взыскано 4 666 849 рублей 30 копеек неосновательного обогащения, 131 098 рублей 74 копейки процентов за пользование чужими денежными средствами с 24.11.2016 по 22.11.2019 и с 23.11.2019 по день фактического возврата обогащения. Арбитражный суд Уральского округа постановлением от 30.11.2020 отменил решение от 23.03.2020 и постановление Семнадцатого арбитражного апелляционного суда от 14.09.2020 и отказал в удовлетворении иска. 2 В кассационных жалобах заявители просят об отмене постановления суда округа, ссылаясь на отсутствие правовых оснований для предъявления требования по банковской гарантии, неправильное применение преюдиции, переоценку исчисления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правомерно указал, что основанием приобретения обществом ««Форсаж» спорной суммы является судебный акт по делу № А60-5378/2014, являющийся в силу статьи 16 Арбитражного процессуального кодекса Российской Федерации общеобязательным и не подлежащим пересмотру посредством обратного взыскания присужденной ответчику суммы. Банком реализовано право регресса к обществу «Спецпромстрой» и его поручителю в деле № А33-12995/2017, рассмотренном судом общей юрисдикции. Убытки, которые бенефициар обязан возместить при наличии условий, предусмотренных статьей 375.1 Гражданского кодекса Российской Федерации, являлись предметом судебного спора в деле № А60-56701/2017, поэтому оснований для применения ее в рассматриваемом споре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«Коммерческий банк «Солидарность», обществу с ограниченной ответственностью «Спецпромстрой» и гражданину Сухомлину А.М.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