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Удмуртской Республики от 27.05.2020, оставленным без изменения постановлением Семнадцатого арбитражного апелляционного суда от 25.08.2020 и постановлением Арбитражного суда Уральского округа от 03.12.2020, в удовлетворении исковых требований к обществу отказано; исковые требования к компании удовлетворены. В кассационной жалобе и дополнениях к ней, поданных в Верховный Суд Российской Федерации, компания, ссылаясь на нарушение судами норм материального и процессуального права, просит отменить указанные судебные акты и принять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Таких оснований по результатам изучения состоявшихся по делу судебных актов, доводов кассационной жалобы и дополнений к ней не установлено.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факт причинения предпринимателю ущерба в результате затопления принадлежащего ему подвального помещения многоквартирного дома, размер ущерба и наличие причинно-следственной связи между ущербом и бездействием компании как управляющей организации спорного дома, руководствуясь статьями 15 , 1064 Гражданского кодекса Российской Федерации, статьей 161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первой и апелляционной инстанций удовлетворили требования истца, заявленные к компании. С указанными выводами впоследствии согласился суд округа. Доводы заявителя кассационной жалобы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«Городская управляющая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ООО "Городская Управляющая Компания" (подробнее) ООО "Удмуртские коммунальные системы"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