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14.07.2020, оставленным без изменения постановлением Пятнадцатого арбитражного апелляционного суда от 08.09.2020, в удовлетворении заявленных требований отказано. Постановлением Арбитражного суда Северо-Кавказского округа от 10.12.2020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Таможенного кодекса Евразийского экономического союза, исходя из разъяснений, содержащихся в постановлении Пленума Высшего Арбитражного Суда РФ от 08.11.2013 № 79 «О некоторых вопросах применения таможенного законодательства»,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16.2 Кодекса Российской Федерации об административных правонарушениях, установив факт заявления обществом недостоверных сведений о таможенной стоимости декларируемых товаров.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Нарушений порядка привлечения общества к административной ответственности суды не установили, так же как не установили и оснований для признания совершенного обществом правонарушения малозначительным и освобождения общества от ответственности на основании статьи 2.9 Кодекса Российской Федерации об административных правонарушениях. Доводы общества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"Аванта" (подробнее) Иные лица: Новороссийская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