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08.06.2020 в иске отказано, с учреждения в доход федерального бюджета взыскана государственная пошлина в размере 30 028 рублей. Постановлением Девятого арбитражного апелляционного суда от 04.09.2020 решение суда первой инстанции отменено в части взыскания с учреждения в доход федерального бюджета государственной пошлины в размере 30 028 рублей, в остальной части решение суда первой инстанции оставлено без изменения. Постановлением Арбитражного суда Московского округа от 14.12.2020 указанные судебные акты оставлены без изменения. Учреждение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368 , 376 Гражданского кодекса Российской Федерации, Федерального Закона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нужд», суды в иске отказали, признав, что требование истца (бенефициара) не соответствует условиям банковской гарантии и приложенным документам. Доводы жалобы были предметом исследования судов и получили исчерпывающую правовую оценку с учетом конкретных условий банковской гарантии, не согласиться с которой по доводам жалобы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ГОСУДАРСТВЕННОЕ КАЗЕННОЕ УЧРЕЖДЕНИЕ РЕСПУБЛИКИ КОМИ "УПРАВЛЕНИЕ АВТОМОБИЛЬНЫХ ДОРОГ РЕСПУБЛИКИ КОМИ" (подробнее) Ответчики: ООО Коммерческий банк "Славянский кредит"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