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03.07.2020, оставленным без изменения постановлениями Седьмого арбитражного апелляционного суда от 25.09.2020 и Арбитражного суда Западно-Сибирского округа от 04.12.2020, исковые требования удовлетворены частично, с администрации в пользу общества взысканы 752 852 рубля долга, 15 704 рубля 13 копеек неустойки, 5 000 рублей штрафа. В удовлетворении остальной части иска отказано. В кассационной жалобе, поданной в Верховный Суд Российской Федерации, администрация ставит вопрос об отмене принятых по делу судебных актов, ссылаясь на существенное нарушение судами норм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администрацией (заказчик) и обществом (подрядчик) заключен муниципальный контракт от 18.06.2019 № Ф.2019.341617 на выполнение работ по благоустройству. Основанием для обращения в суд с настоящим иском послужила неоплата администрацией дополнительно выполненных работ по контракту. Оценив представленные в материалы дела доказательства, суды, руководствуясь положениями статей 309 , 310 , 329 , 330 , 702 , 709 , 720 , 743 , 763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правовой позицией, выраженной в Обзоре судебной практики применения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утвержденном Президиумом Верховного Суда Российской Федерации 28.06.2017, пришли к выводу о наличии оснований для взыскания с администрации задолженности, при этом произвели перерасчет начисленной неустойки. Судебные инстанции исходили из доказанности обществом факта согласования с заказчиком спорных дополнительных работ, их необходимости и выполнения подрядчиком. Доводы кассационной жалобы о нарушении обществом требований статей 125 , 126 Арбитражного процессуального кодекса Российской Федерации, о нарушении судами принципа состязательности сторон являлись предметом рассмотрения судов и получили надлежащую правовую оценку, не подтверждают существенных нарушений норм материального права и норм процессуального права, повлиявших на исход дела.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Тяжинского муниципального округа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"Сибирский строитель" (подробнее) Ответчики: Администрация Тяжинского городского поселения (подробнее) Судьи дела: Антонова М.К.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