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17.02.2020 в удовлетворении исковых требований отказано. Постановлением Девятого арбитражного апелляционного суда от 20.08.2020 решение суда первой инстанции отменено, с общества в пользу предпринимателя взыскано 556 000 руб. задолженности, 314 368 руб. неустойки, в удовлетворении остальной части исковых требований отказано. Постановлением Арбитражного суда Московского округа от 25.11.2020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несоответствие выводов судов фактическим обстоятельствам дела, просит отменить постановления от 20.08.2020, от 25.11.2020 и направить дело на новое рассмотрение в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частично удовлетворяя исковые требования, суд апелляционной инстанции,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330 , 434 , 438 , 614 Гражданского кодекса Российской Федерации, установив, что спорный договор аренды является заключенным в соответствии с действующим законодательством, факт использования ответчиком предмета аренды в период с 25.02.2019 по 12.03.2019 подтвержден, учитывая произведенную ответчиком предварительную оплату, пришел к выводу о наличии у последнего обязанности по оплате задолженности в сумме 556 000 руб. и неустойки в размере 314 368 руб., право требования которых перешло предпринимателю на основании договора уступки прав. Суд округа согласился с выводами апелляционного суда.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права,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«Газстрой»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Газстрой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