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24.03.2020, оставленным без изменения постановлением Девятого арбитражного апелляционного суда от 06.08.2020 и постановлением Арбитражного суда Московского округа от 23.11.2020, заключенный между сторонами договор от 20.05.2019 № 04-05/2019 расторгнут,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процессуального права, просит отменить указанные судебные акты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общества (заказчик) мотивированы тем, что компания (подрядчик) не выполнила работы в рамках договора от 20.05.2019 № 04-05/2019, в связи с чем заказчиком принято решение о его расторжении и в адрес подрядчика направлено требование о возврате аванса, которое последним не исполнено.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учитывая, что компания не возражала против расторжения договора, суды первой и апелляционной инстанций удовлетворили требование о его расторжении. Установив, что компанией выполнены работы на сумму не менее перечисленного обществом аванса, руководствуясь статьями 1102, 1103 Гражданского кодекса Российской Федерации, суды пришли к выводу об отсутствии на стороне компании неосновательного обогащения и отказали в удовлетворении данного требования. С выводами судов первой и апелляционной инстанций впоследствии согласился суд округа. Приведенные обществом в кассационной жалобе доводы свидетельствуют о его несогласии с оценкой доказательств по делу, при этом существенных нарушений норм материального и процессуального права, повлиявших на исход дела не подтверждают. При указанных обстоятельствах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«АМЕ»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