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01.06.2020, оставленным без изменения постановлением Восьмого арбитражного апелляционного суда от 18.08.2020, иск удовлетворен за счет союза. Арбитражный суд Западно-Сибирского округа постановлением от 10.12.2020 решение от 01.06.2020 и постановление Восьмого арбитражного апелляционного суда от 18.08.2020 оставил без изменения. В кассационной жалобе союз просит об отмене судебных актов, ссылаясь на отсутствие у истца права на получение компенсационной выплаты и наличие условий для уменьшения неустойки по инициативе суда.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Истцу перешли права выгодоприобретателя в договоре обязательного страхования по сделке, предусматривающей перемену лица в обязательстве. В силу пункта 2.1 статьи 18 Федерального закона от 25.04.2002 № 40-ФЗ «Об обязательном страховании гражданской ответственности владельцев транспортных средств» выгодоприобретатели отнесены к лицам, имеющим право на получение компенсационных выплат. Иное толкование норм о компенсационных выплатах и обстоятельства, влияющие на размер неустойки,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