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28.11.2019, оставленным без изменения постановлением Первого арбитражного апелляционного суда от 26.06.2020, в удовлетворении иска отказано. Арбитражный суд Волго-Вятского округа постановлением от 27.11.2020 решение от 28.11.2019 и постановление Первого арбитражного апелляционного суда от 26.06.2020 оставил без изменения. В кассационной жалобе предприниматель просит об отмене судебных актов, ссылаясь на преюдицию и законность цессии.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Правомочия суда на применение статьи 10 Гражданского Российской Федерации не подлежат пересмотру в кассационном порядке. Отказ в применении ответственности за нарушение прав гражданина- потребителя основан на недопустимости исходя из характера правоотношений ее уступки.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Бахтин Артём Сергеевич (подробнее) Ответчики: АО Страховое "ВСК" в лице Филиала САО "ВСК" в Республике Марий Эл (подробнее) САО ВСК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