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19.06.2020, оставленным без изменения постановлением Двенадцатого арбитражного апелляционного суда от 26.08.2020, взыскано 288 400 рублей страхового возмещения, 400 000 рублей неустойки, 10 000 рублей расходов на оценку ущерба, 20 000 рублей расходов на услуги представителя и 271 рубль 08 копеек почтовых расходов. Арбитражный суд Поволжского округа постановлением от 20.11.2020 решение от 19.06.2020 и постановление Двенадцатого арбитражного апелляционного суда от 26.08.2020 оставил без изменения. В кассационной жалобе общество «Ингосстрах» просит об отмене судебных актов, ссылаясь на отсутствие оценки представленного доказательства ненадлежащего характера судебной экспертизы и несоразмерность взысканной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Вопросы доказывания, оценки доказательств и обстоятельств, определяющих размер неустойки, поднятые в жалобе, не образуют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Лепилова Любовь Юрьевна (подробнее) Ответчики: СПАО "Ингосстрах" (подробнее) Иные лица: АО Управление по вопросам миграции УМВД России по (подробнее) ОГИБДД ОМВД России по Приволжскому району (подробнее) ООО ЭА "Дело+" (подробнее) ООО "Юрист -Эксперт-Сервис"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