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25.02.2020, оставленным без изменения постановлением Девятого арбитражного апелляционного суда от 10.09.2020, в удовлетворении иска отказано. Арбитражный суд Московского округа постановлением от 30.11.2020 решение от 25.02.2020 и постановление Девятого арбитражного апелляционного суда от 10.09.2020 оставил без изменения. В кассационной жалобе общество просит об отмене судебных актов, ссылаясь на ничтожность оспариваемого положения как посягающего на публичные интересы и нарушающего права неопределенного круга лиц и нерассмотрение его доводов.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Присоединение общества к действующим в банке условиям обслуживания, влекущее действие оспариваемого положения в качестве договорного условия, не может в силу статей 10, 168 Гражданского кодекса Российской Федерации являться основанием для признания его недействительным. Это положение в качестве договорного касается сторон договора и не имеет признаков, необходимых для признания его ничтожным в силу пункта 2 статьи 168 Кодекса. Удержание комиссии в связи с конкретной расчетной операцией было предметом судебной оценки.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«Кутекс»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