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05.06.2020, оставленным без изменения постановлением Восемнадцатого арбитражного апелляционного суда от 18.08.2020, взыскано 27 334 999 рублей 71 копейка неосновательного обогащения. Арбитражный суд Уральского округа постановлением от 08.12.2020 решение от 05.06.2020 и постановление Восемнадцатого арбитражного апелляционного суда от 18.08.2020 оставил без изменения. В кассационной жалобе фирма просит об отмене судебных актов, ссылаясь на неправильную правовую квалификацию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условия для применения ответственности, устанавливаются судами, рассматривающими дело в качестве суда первой инстанции. Суды установили договорный характер удержанной объединением неустойки и наступление согласованных условий для ее применения, проверили соразмерность неустойки последствиям нарушения фирмой срока поставки и удовлетворили иск в соответствии с договором поставки от 14.06.2017 № 1080/2017/10.1-ДОГ, обстоятельствами его исполнения и статьями 333 , 1102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производственная фирма «Сосны»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НПФ "Сосны" (подробнее) Ответчики: ФГУП "Производственное объединение "Маяк" (подробнее) Иные лица: Арбитражный суд Ульяновской области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