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Бурятия от 27.01.2020, оставленным без изменения постановлением Четвертого арбитражного апелляционного суда от 22.07.2020, в удовлетворении иска отказано. Арбитражный суд Восточно-Сибирского округа постановлением от 24.11.2020 решение от 27.01.2020 и постановление Четвертого арбитражного апелляционного суда от 22.07.2020 оставил без изменения. В кассационной жалобе общество «Транс Сервис» просит об отмене судебных актов, ссылаясь на неустановление обстоятельств для применения пункта 2 статьи 1083 Гражданского кодекса Российской Федерации.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Стороны состоят в договорных отношениях, нарушения которых банком в качестве условия для взыскания убытков не установлено. Наличие договоров исключает применение норм права об обязательствах вследствие причинения вреда (пункт 2 статьи 1083 Гражданского кодекса Российской Федерации).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 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ТРАНС СЕРВИС (подробнее) Ответчики: ПАО Банк "ВТБ" (подробнее) ПАО Банк ВТБ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