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22.06.2020 в удовлетворении иска отказано. Постановлением Восемнадцатого арбитражного апелляционного суда от 24.08.2020, оставленным без изменения постановлением Арбитражного суда Уральского округа от 15.12.2020, решение отменено, исковые требования удовлетворены. В кассационной жалобе завод просит об отмене судебных актов апелляционного и окружного судов, ссылаясь на отсутствие перерыва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с учетом установленного в деле № А76-30193/2016 правомерного удержания предприятием части неустойки установил, что оставшаяся ее часть в спорной сумме приходится на период, находящийся в пределах срока исковой давности, не истекшего к моменту предъявления рассматриваемого иска. В связи с отсутствием пропуска срока исковой давности обсуждения его перерыва не требовалось такого обсуждения судебные акты не содержат.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«Челябинский опытно-экспериментальный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ФГУП "Производственное объединение "Маяк" (подробнее) Ответчики: ООО "ЧЕЛЯБИНСКИЙ ОПЫТНО-ЭКСПЕРИМЕНТАЛЬНЫЙ ЗАВОД"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