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Владимирской области от 10.03.2020, оставленным без изменения постановлением Первого арбитражного апелляционного суда от 03.07.2020 и постановлением Арбитражного суда Волго-Вятского округа от 02.12.2020, первоначальный иск удовлетворен, в удовлетворении встречного иска отказано. В кассационной жалобе предприниматель Халабурдин П.А. просит о пересмотре судебных актов, ссылаясь на произвольное толкование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 связи с нарушением покупателями (ответчиками) обязанности по оплате переданного в рамках договора от 20.02.2018 № 4362 товара общество воспользовалось договорным правом на отказ от договора. Задолженность за поставленный товар, составляющая предмет первоначального иска, взыскана в соответствии с обстоятельствами исполнения договора и статьями 330, 408, 506, 516, 523 Гражданского кодекса Российской Федерации. Иные толкование условий договора и оценка его исполнения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Халабурдину Павлу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