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соглашения от 08.02.2017, заключенного между Пилипом М.М. и должником о расторжении договора ипотеки № КДЛ-31/7/2015 от 15.11.2016 (далее – соглашение); к Леоновой Алле Павловне о применении последствий недействительности сделки в виде восстановления банка в правах залогодержателя. Определением Арбитражного суда города Москвы от 24.07.2020 оспариваемое соглашение признано недействительной сделкой, в удовлетворении остальной части заявления отказано. Постановлением Девятого арбитражного апелляционного суда от 08.10.2020, оставленным без изменения постановлением Арбитражного суда Московского округа от 22.12.2020, вышеуказанное определение изменено; применены последствия недействительности сделки в виде восстановления банка в правах залогодержателя. В кассационной жалобе, поданной в Верховный Суд Российской Федерации, заявитель просит отменить определение суда первой инстанции в части признания недействительной сделкой прекращения обеспечительного 2 обязательства, постановления судов апелляционной инстанции и округа в полном объёме;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в обжалуемой части, суд первой инстанции, руководствуясь статьями 10, 168, 174, 352 Гражданского кодекса Российской Федерации, пунктом 2 статьи 61.2, статьями 61.9, 189.40 Федерального закона от 26.10.2002 № 127-ФЗ «О несостоятельности (банкротстве)», исходил из того, что ничем не обоснованное и экономически неоправданное прекращение заинтересованными лицами обеспечительного обязательства (ипотеки) в отсутствие доказательств предоставления иного обеспечения и погашения кредита привело к утрате возможности получения неплатёжеспособным банком надлежащего исполнения с заёмщика, что указывало на совершение оспариваемой сделки с целью причинения вреда имущественным правам кредиторов. Изменяя принятое по спору определение в части отказа в применении последствий недействительности сделки и восстанавливая банк в правах залогодержателя, апелляционный суд основывался на том, что коль скоро конечный приобретатель выбывших из под погашенной ипотеки объектов недвижимости являлась профессиональным участником рынка, в условиях публичного раскрытия сведений об отзыве у должника лицензии на осуществление банковской деятельности, она не могла не осознавать об ущемлении прав и охраняемых законом интересов кредиторов банка в результате заключения спорной сделки, следовательно, залог при переходе права собственности на данные объекты недвижимости прекращён не был. Суд округа согласился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Пилипу Марку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