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признании недействительной сделкой соглашения от 08.02.2017, заключенного между Титовой Е.В. и должником о расторжении договора ипотеки № КДЛ-31/8/2015 от 15.11.2016 (далее – соглашение); к Леоновой Алле Павловне о применении последствий недействительности сделки в виде восстановления банка в правах залогодержателя. Определением Арбитражного суда города Москвы от 27.07.2020 оспариваемое соглашение признано недействительной сделкой, в удовлетворении остальной части заявления отказано. Постановлением Девятого арбитражного апелляционного суда от 09.10.2020, оставленным без изменения постановлением Арбитражного суда Московского округа от 21.12.2020, вышеуказанное определение отменено в части применения отказа в применении последствий недействительности ничтожной сделки; банк восстановлен в правах залогодержателя. В кассационной жалобе, поданной в Верховный Суд Российской Федерации, заявитель просит отменить определение суда первой инстанции в части признания недействительной сделкой прекращения обеспечительного обязательства, постановления судов апелляционной инстанции и округа в полном объёме; направить дело на новое рассмотрение в Арбитражный суд города Москвы.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и удовлетворяя заявление в обжалуемой части, суд первой инстанции, руководствуясь статьями 10, 168, 174, 352 Гражданского кодекса Российской Федерации, пунктом 2 статьи 61.2, статьями 61.9, 189.40 Федерального закона от 26.10.2002 № 127-ФЗ «О несостоятельности (банкротстве)», исходил из того, что ничем не обоснованное и экономически неоправданное прекращение заинтересованными лицами обеспечительного обязательства (ипотеки) в отсутствие доказательств предоставления иного обеспечения и погашения кредита привело к утрате возможности получения неплатёжеспособным банком надлежащего исполнения с заёмщика, что указывало на совершение оспариваемой сделки с целью причинения вреда имущественным правам кредиторов. Отменяя принятое по спору определение в части отказа в применении последствий недействительности сделки и восстанавливая банк в правах залогодержателя, апелляционный суд основывался на том, что коль скоро конечный приобретатель выбывших из под погашенной ипотеки объектов недвижимости являлась профессиональным участником рынка, в условиях публичного раскрытия сведений об отзыве у должника лицензии на осуществление банковской деятельности, она не могла не осознавать об ущемлении прав и охраняемых законом интересов кредиторов банка оспариваемой сделкой, следовательно, залог при переходе права собственности на данные объекты недвижимости прекращён не был. Суд округа согласился с данными выводами.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свидетельствуют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Титовой Елене Валерьевне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